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B8" w:rsidRPr="007F78B8" w:rsidRDefault="007F78B8" w:rsidP="007F78B8">
      <w:pPr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Na temelju čl. 107. Zakona o odgoju i obrazovanju u osnovnoj i srednjoj školi (NN 87/08, 86/09, 92/10, 105/10, 90/11, 5/12, 16/12, 86/12, 126/12 94/13, 152/14, 7/17, 68/18 , 98/19 , 64/20, 151/22, 155/23, 156/23), a u skladu sa Planom prijema pripravnika stručnih suradnika u školskim ustanovama u 2024. godini, uz suglasnost Ministarstva znanosti i obrazovanja, Učenički dom Split raspisuje</w:t>
      </w:r>
    </w:p>
    <w:p w:rsidR="007F78B8" w:rsidRPr="007F78B8" w:rsidRDefault="007F78B8" w:rsidP="007F78B8">
      <w:pPr>
        <w:jc w:val="center"/>
        <w:rPr>
          <w:rFonts w:ascii="Verdana" w:hAnsi="Verdana" w:cs="Times New Roman"/>
          <w:b/>
          <w:sz w:val="28"/>
        </w:rPr>
      </w:pPr>
      <w:r w:rsidRPr="007F78B8">
        <w:rPr>
          <w:rFonts w:ascii="Verdana" w:hAnsi="Verdana" w:cs="Times New Roman"/>
          <w:b/>
          <w:sz w:val="28"/>
        </w:rPr>
        <w:t>NATJEČAJ</w:t>
      </w:r>
    </w:p>
    <w:p w:rsidR="007F78B8" w:rsidRPr="007F78B8" w:rsidRDefault="007F78B8" w:rsidP="007F78B8">
      <w:pPr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za zasnivanje radnog odnosa za prijem pripravnika kroz mjeru Hrvatskog zavoda za zapošljavanje „Stjecanje prvog radnog iskustva/pripravništva“ na radno mjesto:</w:t>
      </w:r>
    </w:p>
    <w:p w:rsidR="007F78B8" w:rsidRPr="007F78B8" w:rsidRDefault="007F78B8" w:rsidP="007F78B8">
      <w:pPr>
        <w:pStyle w:val="Odlomakpopis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  <w:b/>
          <w:i/>
        </w:rPr>
        <w:t>stručni suradnik, PSIHOLOG</w:t>
      </w:r>
      <w:r w:rsidRPr="007F78B8">
        <w:rPr>
          <w:rFonts w:ascii="Verdana" w:hAnsi="Verdana" w:cs="Times New Roman"/>
        </w:rPr>
        <w:t xml:space="preserve"> (diplomski sveučilišni studij psihologije) - 1 izvršitelj/ica, na određeno, puno radno vrijeme (40 sati tjedno), u trajanju od 12 mjeseci, od dana sklapanja Ugovora o radu.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Prijem pripravnika stručnog suradnika putem mjere Hrvatskog zavoda za zapošljavanje – Potpora za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zapošljavanje za stjecanje prvog radnog iskustva/pripravništva u trajanju od 12 mjeseci.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NEZAPOSLENA OSOBA BEZ STAŽA OSIGURANJA NA POSLOVIMA U SVOJOJ OBRAZOVNOJ RAZINI PRIJAVLJENA U EVIDENCIJU NEZAPOSLENIH.</w:t>
      </w:r>
    </w:p>
    <w:p w:rsid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Kandidati koji se prijavljuju na natječaj pored općih uvjeta, sukladno općim propisima o radu,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moraju ispunjavati i posebne uvjete propisane Zakonom o odgoju i obrazovanju u osnovnoj i srednjoj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školi (NN br. 87/08, 86/09, 92/10, 105/10, 90/11, 5/12, 16/12, 86/12, 126/12, 94/13, 152/14,7/17,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68/18, 98/19, 64/20, 151/22, 155/23, 156/23) i Pravilnikom o stručnoj spremi i pedagoško-psihološkom obrazovanju nastavnika u srednjem školstvu (NN br. 1/96 i 80/99).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Posebni uvjeti za zasnivanje radnog odnosa u školskoj ustanovi za osobe koje sudjeluju u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odgojno-obrazovnom radu s učenicima jesu poznavanje hrvatskog jezika i latiničnog pisma u mjeri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koja omogućava izvođenje odgojno-obrazovnog rada, odgovarajuća vrsta i razina obrazovanja iz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članka 105. stavka 7. Zakona o odgoju i obrazovanju u osnovnoj i srednjoj školi i Pravilnika o stručnoj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spremi i pedagoško-psihološkom obrazovanju nastavnika u srednjem školstvu.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Radni odnos u školskoj ustanovi ne može zasnovati osoba za koju postoje zapreke iz članka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106. Zakona o odgoju i obrazovanju u osnovnoj i srednjoj školi.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Dokumentacija koju kandidati trebaju priložiti i dokazi o ispunjavanju uvjeta su: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1. vlastoručno potpisana prijava koja mora sadržavati osobne podatke podnositelja prijave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lastRenderedPageBreak/>
        <w:t>(osobno ime, adresa stanovanja, kontakt podaci (broj telefona/mobitela, e-mail adresa) i naziv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radnog mjesta na koje se prijavljuje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2. životopis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3. presliku dokaza o odgovarajućoj vrsti i razini obrazovanja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4. presliku dokaza o državljanstvu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5. uvjerenje nadležnog suda da podnositelj prijave nije pod istragom i da se protiv podnositelja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prijave ne vodi kazneni postupak glede zapreka za zasnivanje radnog odnosa iz članka 106.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Zakona o odgoju i obrazovanju u osnovnoj i srednjoj školi (ne starije od 30 dana od dana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objave natječaja)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6. elektronički zapis ili potvrdu o podacima evidentiranim u matičnoj evidenciji HZMO-a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7. ostale potrebne priloge/isprave/dokaze (za kandidate koji su stekli inozemnu obrazovnu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kvalifikaciju, te za kandidate koji se prema posebnim propisima pozivaju na pravo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prednosti pri zapošljavanju pod jednakim uvjetima)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Sukladno Zakonu o ravnopravnosti spolova (NN, br. 82/08. i 69/17.) na natječaj se mogu ravnopravno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neutralno i odnose se jednako na muške i na ženske osobe.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Kandidati koji se u prijavi na natječaj pozivaju na pravo prednosti pri zapošljavanju prema nekom od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posebnih zakona dužni su uz prijavu priložiti svu propisanu dokumentaciju prema posebnom zakonu.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Kandidat koji ostvaruje pravo prednosti prilikom zapošljavanja prema članku 102. Zakona o hrvatskim braniteljima iz Domovinskog rata i članovima njihovih obitelji (NN broj 121/17, 98/19, 84/21, 156/23),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Kandidat koji se poziva na pravo prednosti pri zapošljavanju u skladu s člankom 102. Zakona o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hrvatskih braniteljima iz Domovinskog rata i članovima njihovih obitelji (NN, br. 121/17, 98/19) uz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prijavu na natječaj dužan je, osim dokaza o ispunjavanju uvjeta natječaja, priložiti i sve potrebne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dokaze propisane člankom 103. stavkom 1. Zakona o hrvatskim braniteljima iz Domovinskog rata i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članovima njihovih obitelji. Poveznica na internetsku stranicu Ministarstva: </w:t>
      </w:r>
    </w:p>
    <w:p w:rsidR="007F78B8" w:rsidRPr="007F78B8" w:rsidRDefault="00585932" w:rsidP="007F78B8">
      <w:pPr>
        <w:spacing w:after="0" w:line="360" w:lineRule="auto"/>
        <w:jc w:val="both"/>
        <w:rPr>
          <w:rFonts w:ascii="Verdana" w:hAnsi="Verdana" w:cs="Times New Roman"/>
        </w:rPr>
      </w:pPr>
      <w:hyperlink r:id="rId7" w:history="1">
        <w:r w:rsidR="007F78B8" w:rsidRPr="007F78B8">
          <w:rPr>
            <w:rStyle w:val="Hiperveza"/>
            <w:rFonts w:ascii="Verdana" w:hAnsi="Verdana" w:cs="Times New Roman"/>
          </w:rPr>
          <w:t>https://branitelji.gov.hr/zaposljavanje-843/843</w:t>
        </w:r>
      </w:hyperlink>
      <w:r w:rsidR="007F78B8" w:rsidRPr="007F78B8">
        <w:rPr>
          <w:rFonts w:ascii="Verdana" w:hAnsi="Verdana" w:cs="Times New Roman"/>
        </w:rPr>
        <w:t>, a dodatne informacije o dokazima koji su potrebni za</w:t>
      </w:r>
      <w:r w:rsidR="007F78B8">
        <w:rPr>
          <w:rFonts w:ascii="Verdana" w:hAnsi="Verdana" w:cs="Times New Roman"/>
        </w:rPr>
        <w:t xml:space="preserve"> </w:t>
      </w:r>
      <w:r w:rsidR="007F78B8" w:rsidRPr="007F78B8">
        <w:rPr>
          <w:rFonts w:ascii="Verdana" w:hAnsi="Verdana" w:cs="Times New Roman"/>
        </w:rPr>
        <w:t>ostvarivanje prava prednosti pri zapošljavanju, potražiti na sljedećoj poveznici:</w:t>
      </w:r>
    </w:p>
    <w:p w:rsidR="007F78B8" w:rsidRDefault="00585932" w:rsidP="007F78B8">
      <w:pPr>
        <w:spacing w:after="0" w:line="360" w:lineRule="auto"/>
        <w:jc w:val="both"/>
        <w:rPr>
          <w:rFonts w:ascii="Verdana" w:hAnsi="Verdana" w:cs="Times New Roman"/>
        </w:rPr>
      </w:pPr>
      <w:hyperlink r:id="rId8" w:history="1">
        <w:r w:rsidR="007F78B8" w:rsidRPr="007F78B8">
          <w:rPr>
            <w:rStyle w:val="Hiperveza"/>
            <w:rFonts w:ascii="Verdana" w:hAnsi="Verdana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7F78B8" w:rsidRPr="007F78B8">
        <w:rPr>
          <w:rFonts w:ascii="Verdana" w:hAnsi="Verdana" w:cs="Times New Roman"/>
        </w:rPr>
        <w:t xml:space="preserve"> 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najkasnije do isteka roka za podnošenje prijave na natječaj.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 xml:space="preserve">Povjerenstvo će na javno dostupnoj mrežnoj stranici Doma </w:t>
      </w:r>
      <w:hyperlink r:id="rId9" w:history="1">
        <w:r w:rsidR="00923966" w:rsidRPr="00923966">
          <w:rPr>
            <w:rStyle w:val="Hiperveza"/>
            <w:rFonts w:ascii="Verdana" w:hAnsi="Verdana" w:cs="Times New Roman"/>
          </w:rPr>
          <w:t>http://www.dom-ucenicki-st.skole.hr</w:t>
        </w:r>
      </w:hyperlink>
      <w:r w:rsidRPr="007F78B8">
        <w:rPr>
          <w:rFonts w:ascii="Verdana" w:hAnsi="Verdana" w:cs="Times New Roman"/>
        </w:rPr>
        <w:t xml:space="preserve"> objaviti način procjene, odnosno testiranja kandidata te pravne i druge izvore za pripremu kandidata ako se procjena odnosno testiranje provodi o poznavanju propisa.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procjene odnosno testiranja, način procjene odnosno testiranja te pravni i drugi izvori za pripremu kandidata ako se procjena odnosno testiranje provodi o poznavanju propisa. Poziv će  biti objavljen na javno dostupnim mrežnim stranicama Doma</w:t>
      </w:r>
      <w:r w:rsidR="00585932">
        <w:rPr>
          <w:rFonts w:ascii="Verdana" w:hAnsi="Verdana" w:cs="Times New Roman"/>
        </w:rPr>
        <w:t xml:space="preserve"> </w:t>
      </w:r>
      <w:hyperlink r:id="rId10" w:history="1">
        <w:r w:rsidR="00585932" w:rsidRPr="00923966">
          <w:rPr>
            <w:rStyle w:val="Hiperveza"/>
            <w:rFonts w:ascii="Verdana" w:hAnsi="Verdana" w:cs="Times New Roman"/>
          </w:rPr>
          <w:t>http://www.dom-ucenicki-st.skole.hr</w:t>
        </w:r>
      </w:hyperlink>
      <w:bookmarkStart w:id="0" w:name="_GoBack"/>
      <w:bookmarkEnd w:id="0"/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 xml:space="preserve">Kandidat koji je pravodobno dostavio potpunu prijavu sa svim prilozima odnosno ispravama  i ispunjava uvjete natječaja, dužan je pristupiti procjeni odnosno testiranju prema odredbama Pravilnika o načinu i postupku zapošljavanja u Učeničkom domu Split koji je dostupan na poveznici Doma </w:t>
      </w:r>
      <w:hyperlink r:id="rId11" w:history="1">
        <w:r w:rsidRPr="007F78B8">
          <w:rPr>
            <w:rStyle w:val="Hiperveza"/>
            <w:rFonts w:ascii="Verdana" w:hAnsi="Verdana" w:cs="Times New Roman"/>
          </w:rPr>
          <w:t>http://www.dom-ucenicki-st.skole.hr/wp-content/uploads/Pravilnik-o-nac%CC%8Cinu-i-postupku-zapos%CC%8Cljavanja.pdf</w:t>
        </w:r>
      </w:hyperlink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Kandidat koji nije pristupio procjeni odnosno testiranju smatra se da je odustao od prijave na natječaj i ne smatra se kandidatom.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Podnošenjem prijave na natječaj, kandidat je izričito suglasan da Učenički dom Split, Matice hrvatske 13, Split, kao voditelj obrade može prikupljati, koristiti i dalje obrađivati njegove osobne podatke u svrhu provedbe natječaja sukladno propisima koji uređuju zaštitu osobnih podataka.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 xml:space="preserve">Rok za podnošenje prijava na natječaj je </w:t>
      </w:r>
      <w:r w:rsidRPr="007F78B8">
        <w:rPr>
          <w:rFonts w:ascii="Verdana" w:hAnsi="Verdana" w:cs="Times New Roman"/>
          <w:b/>
        </w:rPr>
        <w:t>8 dana od dana objave natječaja na mrežnoj stranici i oglasnoj ploči Učeničkog doma Split, te mrežnoj stranici i oglasnoj ploči Hrvatskog zavoda za zapošljavanje</w:t>
      </w:r>
      <w:r w:rsidRPr="007F78B8">
        <w:rPr>
          <w:rFonts w:ascii="Verdana" w:hAnsi="Verdana" w:cs="Times New Roman"/>
        </w:rPr>
        <w:t>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lastRenderedPageBreak/>
        <w:t>Prijave s potrebnom dokumentacijom o ispunjavanju uvjeta iz natječaja dostavljaju se neposredno putem tajništva Doma ili poštom na adresu: Učenički dom , Matice hrvatske 12, 21000 Split, s naznakom: „ Za natječaj – stručni suradnik – psiholog“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Isprave se prilažu u neovjerenoj preslici, a izabrani kandidat je prije sklapanja ugovora o radu dužan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predočiti izvornike ili ovjerene preslike.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Prijave s nepotpunom i neodgovarajućom dokumentacijom kao i nepravovremeno dostavljene prijave neće se razmatrati. Povjerenstvo će, u pravilu elektroničkom poštom, obavijestiti osobu da nije podnijela pravodobnu ili potpunu prijavu ili ne ispunjava uvjete iz natječaja i da ne sudjeluje u daljnjem postupku za izbor kandidata.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Kandidat/i prijavljen/i na natječaj bit će obaviješten/i o rezultatima natječaja na mrežnoj stranici Doma u rubrici „natječaj“ najkasnije u roku od petnaest dana od dana sklapanja ugovora o radu s izabranim kandidatom.</w:t>
      </w: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Natječaj je objavljen na oglasnim i mrežnim stranicama Doma i Hrvatskog zavoda za zapošljavanje</w:t>
      </w:r>
      <w:r>
        <w:rPr>
          <w:rFonts w:ascii="Verdana" w:hAnsi="Verdana" w:cs="Times New Roman"/>
        </w:rPr>
        <w:t xml:space="preserve"> </w:t>
      </w:r>
      <w:r w:rsidRPr="007F78B8">
        <w:rPr>
          <w:rFonts w:ascii="Verdana" w:hAnsi="Verdana" w:cs="Times New Roman"/>
        </w:rPr>
        <w:t>dana, 25. listopada 2024., a istječe zaključno s danom 2. studenog 2024.</w:t>
      </w:r>
    </w:p>
    <w:p w:rsid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</w:p>
    <w:p w:rsidR="007F78B8" w:rsidRPr="007F78B8" w:rsidRDefault="00CE766E" w:rsidP="00CE766E">
      <w:pPr>
        <w:spacing w:after="0" w:line="360" w:lineRule="auto"/>
        <w:ind w:left="2832" w:firstLine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hr-HR"/>
        </w:rPr>
        <w:drawing>
          <wp:inline distT="0" distB="0" distL="0" distR="0">
            <wp:extent cx="4545655" cy="1592580"/>
            <wp:effectExtent l="0" t="0" r="762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čat i potpi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281" cy="160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</w:p>
    <w:p w:rsidR="007F78B8" w:rsidRDefault="007F78B8" w:rsidP="007F78B8">
      <w:pPr>
        <w:spacing w:after="0" w:line="360" w:lineRule="auto"/>
        <w:jc w:val="both"/>
        <w:rPr>
          <w:rFonts w:ascii="Verdana" w:hAnsi="Verdana" w:cs="Times New Roman"/>
        </w:rPr>
      </w:pP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  <w:b/>
          <w:i/>
        </w:rPr>
      </w:pPr>
    </w:p>
    <w:p w:rsidR="007F78B8" w:rsidRPr="007F78B8" w:rsidRDefault="007F78B8" w:rsidP="007F78B8">
      <w:pPr>
        <w:spacing w:after="0" w:line="360" w:lineRule="auto"/>
        <w:jc w:val="both"/>
        <w:rPr>
          <w:rFonts w:ascii="Verdana" w:hAnsi="Verdana" w:cs="Times New Roman"/>
          <w:b/>
          <w:i/>
        </w:rPr>
      </w:pPr>
      <w:r w:rsidRPr="007F78B8">
        <w:rPr>
          <w:rFonts w:ascii="Verdana" w:hAnsi="Verdana" w:cs="Times New Roman"/>
          <w:b/>
          <w:i/>
        </w:rPr>
        <w:t>DOSTAVITI:</w:t>
      </w:r>
    </w:p>
    <w:p w:rsidR="007F78B8" w:rsidRPr="007F78B8" w:rsidRDefault="007F78B8" w:rsidP="007F78B8">
      <w:pPr>
        <w:spacing w:after="0" w:line="360" w:lineRule="auto"/>
        <w:ind w:firstLine="708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1. HZZ-u</w:t>
      </w:r>
    </w:p>
    <w:p w:rsidR="007F78B8" w:rsidRPr="007F78B8" w:rsidRDefault="007F78B8" w:rsidP="007F78B8">
      <w:pPr>
        <w:spacing w:after="0" w:line="360" w:lineRule="auto"/>
        <w:ind w:firstLine="708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2. Oglasna ploča Doma</w:t>
      </w:r>
    </w:p>
    <w:p w:rsidR="007F78B8" w:rsidRPr="007F78B8" w:rsidRDefault="007F78B8" w:rsidP="007F78B8">
      <w:pPr>
        <w:spacing w:after="0" w:line="360" w:lineRule="auto"/>
        <w:ind w:firstLine="708"/>
        <w:jc w:val="both"/>
        <w:rPr>
          <w:rFonts w:ascii="Verdana" w:hAnsi="Verdana" w:cs="Times New Roman"/>
        </w:rPr>
      </w:pPr>
      <w:r w:rsidRPr="007F78B8">
        <w:rPr>
          <w:rFonts w:ascii="Verdana" w:hAnsi="Verdana" w:cs="Times New Roman"/>
        </w:rPr>
        <w:t>3. Web stranica Doma;</w:t>
      </w:r>
    </w:p>
    <w:p w:rsidR="007F78B8" w:rsidRPr="00B130D0" w:rsidRDefault="007F78B8" w:rsidP="007F78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130D0">
        <w:rPr>
          <w:rFonts w:ascii="Times New Roman" w:hAnsi="Times New Roman" w:cs="Times New Roman"/>
        </w:rPr>
        <w:t>4. Pismohrana</w:t>
      </w:r>
    </w:p>
    <w:p w:rsidR="00476483" w:rsidRDefault="00476483" w:rsidP="007F78B8">
      <w:p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4"/>
          <w:lang w:val="en-US" w:bidi="en-US"/>
        </w:rPr>
      </w:pPr>
    </w:p>
    <w:p w:rsidR="00817459" w:rsidRPr="007062F5" w:rsidRDefault="00476483" w:rsidP="007F78B8">
      <w:pPr>
        <w:pStyle w:val="Odlomakpopisa"/>
        <w:spacing w:after="0"/>
        <w:ind w:left="1425"/>
        <w:rPr>
          <w:rFonts w:ascii="Verdana" w:eastAsia="Calibri" w:hAnsi="Verdana"/>
          <w:iCs/>
          <w:sz w:val="24"/>
        </w:rPr>
      </w:pPr>
      <w:r w:rsidRPr="007062F5">
        <w:rPr>
          <w:rFonts w:ascii="Verdana" w:eastAsia="Calibri" w:hAnsi="Verdana"/>
          <w:iCs/>
          <w:sz w:val="28"/>
        </w:rPr>
        <w:t xml:space="preserve">                       </w:t>
      </w:r>
    </w:p>
    <w:sectPr w:rsidR="00817459" w:rsidRPr="007062F5" w:rsidSect="007F78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93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CD" w:rsidRDefault="000223CD" w:rsidP="00B0145B">
      <w:pPr>
        <w:spacing w:after="0" w:line="240" w:lineRule="auto"/>
      </w:pPr>
      <w:r>
        <w:separator/>
      </w:r>
    </w:p>
  </w:endnote>
  <w:endnote w:type="continuationSeparator" w:id="0">
    <w:p w:rsidR="000223CD" w:rsidRDefault="000223CD" w:rsidP="00B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E" w:rsidRDefault="002425EE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-6350</wp:posOffset>
              </wp:positionV>
              <wp:extent cx="6280150" cy="190500"/>
              <wp:effectExtent l="0" t="0" r="6350" b="0"/>
              <wp:wrapNone/>
              <wp:docPr id="8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0" cy="190500"/>
                      </a:xfrm>
                      <a:prstGeom prst="rect">
                        <a:avLst/>
                      </a:prstGeom>
                      <a:solidFill>
                        <a:srgbClr val="95D6D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5EE" w:rsidRDefault="00862770">
                          <w:r>
                            <w:t xml:space="preserve"> </w:t>
                          </w:r>
                          <w:r w:rsidR="002425EE">
                            <w:t xml:space="preserve">OIB: 72476891879           </w:t>
                          </w:r>
                          <w:r>
                            <w:t xml:space="preserve">                                                                                        </w:t>
                          </w:r>
                          <w:r w:rsidR="002425EE">
                            <w:t xml:space="preserve">   IBAN: HR</w:t>
                          </w:r>
                          <w:r w:rsidR="00A77456">
                            <w:t>5324070001100579141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7" type="#_x0000_t202" style="position:absolute;margin-left:.1pt;margin-top:-.5pt;width:494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" fillcolor="#95d6df" stroked="f" strokeweight=".5pt">
              <v:textbox inset="0,0,0,0">
                <w:txbxContent>
                  <w:p w:rsidR="002425EE" w:rsidRDefault="00862770">
                    <w:r>
                      <w:t xml:space="preserve"> </w:t>
                    </w:r>
                    <w:r w:rsidR="002425EE">
                      <w:t xml:space="preserve">OIB: 72476891879           </w:t>
                    </w:r>
                    <w:r>
                      <w:t xml:space="preserve">                                                                                        </w:t>
                    </w:r>
                    <w:r w:rsidR="002425EE">
                      <w:t xml:space="preserve">   IBAN: HR</w:t>
                    </w:r>
                    <w:r w:rsidR="00A77456">
                      <w:t>5324070001100579141</w:t>
                    </w:r>
                  </w:p>
                </w:txbxContent>
              </v:textbox>
            </v:shape>
          </w:pict>
        </mc:Fallback>
      </mc:AlternateContent>
    </w:r>
    <w:r w:rsidR="00862770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CD" w:rsidRDefault="000223CD" w:rsidP="00B0145B">
      <w:pPr>
        <w:spacing w:after="0" w:line="240" w:lineRule="auto"/>
      </w:pPr>
      <w:r>
        <w:separator/>
      </w:r>
    </w:p>
  </w:footnote>
  <w:footnote w:type="continuationSeparator" w:id="0">
    <w:p w:rsidR="000223CD" w:rsidRDefault="000223CD" w:rsidP="00B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0" w:rsidRDefault="00D54F85" w:rsidP="00D54F85">
    <w:pPr>
      <w:pStyle w:val="Zaglavlje"/>
      <w:ind w:left="-851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2719" wp14:editId="7B02C5CA">
              <wp:simplePos x="0" y="0"/>
              <wp:positionH relativeFrom="column">
                <wp:posOffset>1156970</wp:posOffset>
              </wp:positionH>
              <wp:positionV relativeFrom="paragraph">
                <wp:posOffset>1905</wp:posOffset>
              </wp:positionV>
              <wp:extent cx="5121275" cy="1000125"/>
              <wp:effectExtent l="0" t="0" r="3175" b="9525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580" w:rsidRDefault="00A66B22" w:rsidP="00B0145B">
                          <w:pPr>
                            <w:pStyle w:val="Bezproreda"/>
                          </w:pP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179C16D" wp14:editId="56FE3FEC">
                                <wp:extent cx="4762500" cy="457200"/>
                                <wp:effectExtent l="0" t="0" r="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Matice hrvatske 13</w:t>
                          </w:r>
                          <w:r w:rsidR="00634580" w:rsidRPr="00E40FDD">
                            <w:rPr>
                              <w:sz w:val="20"/>
                            </w:rPr>
                            <w:t>,  21 000 SPLIT</w:t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telefon: 021/465-433 ; 453-060 ; fax: 021/453-066</w:t>
                          </w:r>
                        </w:p>
                        <w:p w:rsidR="00B0145B" w:rsidRPr="00634580" w:rsidRDefault="00585932" w:rsidP="00634580">
                          <w:pPr>
                            <w:pStyle w:val="Bezproreda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www.dom-ucenicki-st.skole.hr</w:t>
                            </w:r>
                          </w:hyperlink>
                          <w:r w:rsidR="00B0145B" w:rsidRPr="00634580">
                            <w:rPr>
                              <w:sz w:val="24"/>
                            </w:rPr>
                            <w:t xml:space="preserve"> ; </w:t>
                          </w:r>
                          <w:hyperlink r:id="rId3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ucenickidomsplit@dom-ucenicki-st.skole.hr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27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91.1pt;margin-top:.15pt;width:40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" filled="f" stroked="f" strokeweight=".5pt">
              <v:textbox inset="0,0,0,0">
                <w:txbxContent>
                  <w:p w:rsidR="00634580" w:rsidRDefault="00A66B22" w:rsidP="00B0145B">
                    <w:pPr>
                      <w:pStyle w:val="Bezproreda"/>
                    </w:pP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179C16D" wp14:editId="56FE3FEC">
                          <wp:extent cx="4762500" cy="457200"/>
                          <wp:effectExtent l="0" t="0" r="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Matice hrvatske 13</w:t>
                    </w:r>
                    <w:r w:rsidR="00634580" w:rsidRPr="00E40FDD">
                      <w:rPr>
                        <w:sz w:val="20"/>
                      </w:rPr>
                      <w:t>,  21 000 SPLIT</w:t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telefon: 021/465-433 ; 453-060 ; fax: 021/453-066</w:t>
                    </w:r>
                  </w:p>
                  <w:p w:rsidR="00B0145B" w:rsidRPr="00634580" w:rsidRDefault="00CE766E" w:rsidP="00634580">
                    <w:pPr>
                      <w:pStyle w:val="Bezproreda"/>
                      <w:jc w:val="center"/>
                      <w:rPr>
                        <w:sz w:val="24"/>
                      </w:rPr>
                    </w:pPr>
                    <w:hyperlink r:id="rId5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www.dom-ucenicki-st.skole.hr</w:t>
                      </w:r>
                    </w:hyperlink>
                    <w:r w:rsidR="00B0145B" w:rsidRPr="00634580">
                      <w:rPr>
                        <w:sz w:val="24"/>
                      </w:rPr>
                      <w:t xml:space="preserve"> ; </w:t>
                    </w:r>
                    <w:hyperlink r:id="rId6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ucenickidomsplit@dom-ucenicki-st.skole.hr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3045">
      <w:rPr>
        <w:noProof/>
        <w:lang w:eastAsia="hr-HR"/>
      </w:rPr>
      <w:drawing>
        <wp:inline distT="0" distB="0" distL="0" distR="0" wp14:anchorId="0A091100" wp14:editId="18DDEE6A">
          <wp:extent cx="1509870" cy="108000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enicki dom Split final logo- j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580" w:rsidRDefault="0063458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62426" wp14:editId="51E5A87C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282000" cy="0"/>
              <wp:effectExtent l="0" t="0" r="2413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6C421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" strokecolor="#ffc000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58B7"/>
    <w:multiLevelType w:val="hybridMultilevel"/>
    <w:tmpl w:val="A3580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10F6"/>
    <w:multiLevelType w:val="hybridMultilevel"/>
    <w:tmpl w:val="766A667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B"/>
    <w:rsid w:val="000223CD"/>
    <w:rsid w:val="00042D5A"/>
    <w:rsid w:val="000E152A"/>
    <w:rsid w:val="000F26F2"/>
    <w:rsid w:val="00110C5B"/>
    <w:rsid w:val="0012214C"/>
    <w:rsid w:val="00142DBE"/>
    <w:rsid w:val="00183D45"/>
    <w:rsid w:val="001C0319"/>
    <w:rsid w:val="00207063"/>
    <w:rsid w:val="00217759"/>
    <w:rsid w:val="002425EE"/>
    <w:rsid w:val="00324202"/>
    <w:rsid w:val="00341A81"/>
    <w:rsid w:val="003C1DE9"/>
    <w:rsid w:val="003C5AAF"/>
    <w:rsid w:val="003E004A"/>
    <w:rsid w:val="003E0DBD"/>
    <w:rsid w:val="00443B21"/>
    <w:rsid w:val="00476483"/>
    <w:rsid w:val="00577903"/>
    <w:rsid w:val="00585932"/>
    <w:rsid w:val="005E5E14"/>
    <w:rsid w:val="00620EC1"/>
    <w:rsid w:val="00634580"/>
    <w:rsid w:val="006D34BF"/>
    <w:rsid w:val="00704A09"/>
    <w:rsid w:val="00705CC7"/>
    <w:rsid w:val="007062F5"/>
    <w:rsid w:val="0072148D"/>
    <w:rsid w:val="007C722F"/>
    <w:rsid w:val="007F78B8"/>
    <w:rsid w:val="00817459"/>
    <w:rsid w:val="00862770"/>
    <w:rsid w:val="0088136A"/>
    <w:rsid w:val="008B6E44"/>
    <w:rsid w:val="00923966"/>
    <w:rsid w:val="009D02A0"/>
    <w:rsid w:val="009E689C"/>
    <w:rsid w:val="00A201A9"/>
    <w:rsid w:val="00A66B22"/>
    <w:rsid w:val="00A77456"/>
    <w:rsid w:val="00AE7CFE"/>
    <w:rsid w:val="00B0145B"/>
    <w:rsid w:val="00B3155E"/>
    <w:rsid w:val="00B50B3D"/>
    <w:rsid w:val="00B8198B"/>
    <w:rsid w:val="00BA0F06"/>
    <w:rsid w:val="00BE67D7"/>
    <w:rsid w:val="00BE6884"/>
    <w:rsid w:val="00C71CCC"/>
    <w:rsid w:val="00CB7DAD"/>
    <w:rsid w:val="00CD55B8"/>
    <w:rsid w:val="00CE766E"/>
    <w:rsid w:val="00D063BF"/>
    <w:rsid w:val="00D14028"/>
    <w:rsid w:val="00D17E52"/>
    <w:rsid w:val="00D20226"/>
    <w:rsid w:val="00D32FB5"/>
    <w:rsid w:val="00D54F85"/>
    <w:rsid w:val="00D77B44"/>
    <w:rsid w:val="00DB28E7"/>
    <w:rsid w:val="00DF210A"/>
    <w:rsid w:val="00E17CC6"/>
    <w:rsid w:val="00E40FDD"/>
    <w:rsid w:val="00E5061B"/>
    <w:rsid w:val="00EA13D4"/>
    <w:rsid w:val="00EE3045"/>
    <w:rsid w:val="00F63BF8"/>
    <w:rsid w:val="00FD01DD"/>
    <w:rsid w:val="00FD34AB"/>
    <w:rsid w:val="00FF29DF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4C7039"/>
  <w15:docId w15:val="{2C1F2A78-58BC-43AD-9D3B-AD9F8B9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45B"/>
  </w:style>
  <w:style w:type="paragraph" w:styleId="Podnoje">
    <w:name w:val="footer"/>
    <w:basedOn w:val="Normal"/>
    <w:link w:val="Podno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45B"/>
  </w:style>
  <w:style w:type="paragraph" w:styleId="Tekstbalonia">
    <w:name w:val="Balloon Text"/>
    <w:basedOn w:val="Normal"/>
    <w:link w:val="TekstbaloniaChar"/>
    <w:uiPriority w:val="99"/>
    <w:semiHidden/>
    <w:unhideWhenUsed/>
    <w:rsid w:val="00B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45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45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014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061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923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m-ucenicki-st.skole.hr/wp-content/uploads/Pravilnik-o-nac%CC%8Cinu-i-postupku-zapos%CC%8Cljavanj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m-ucenicki-st.skole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cenicki-st.skole.h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cenickidomsplit@dom-ucenicki-st.skole.hr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dom-ucenicki-st.skole.hr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cenickidomsplit@dom-ucenicki-st.skole.hr" TargetMode="External"/><Relationship Id="rId5" Type="http://schemas.openxmlformats.org/officeDocument/2006/relationships/hyperlink" Target="http://www.dom-ucenicki-st.skole.hr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Validžić</dc:creator>
  <cp:lastModifiedBy>Đurđica Kamenjarin</cp:lastModifiedBy>
  <cp:revision>4</cp:revision>
  <cp:lastPrinted>2024-10-24T20:43:00Z</cp:lastPrinted>
  <dcterms:created xsi:type="dcterms:W3CDTF">2024-10-24T20:38:00Z</dcterms:created>
  <dcterms:modified xsi:type="dcterms:W3CDTF">2024-10-24T20:44:00Z</dcterms:modified>
</cp:coreProperties>
</file>